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D0D12" w14:textId="77777777" w:rsidR="00557A92" w:rsidRPr="00652E92" w:rsidRDefault="00557A92" w:rsidP="00557A92">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54EB45AD" w14:textId="77777777" w:rsidR="00557A92" w:rsidRPr="00652E92" w:rsidRDefault="00557A92" w:rsidP="00557A92">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60DCEB64" w14:textId="77777777" w:rsidR="00557A92" w:rsidRPr="00652E92" w:rsidRDefault="00557A92" w:rsidP="00557A92">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817</w:t>
      </w:r>
    </w:p>
    <w:p w14:paraId="163F4A99" w14:textId="77777777" w:rsidR="00557A92" w:rsidRDefault="00557A92" w:rsidP="00557A92">
      <w:pPr>
        <w:widowControl w:val="0"/>
        <w:bidi/>
        <w:spacing w:after="0" w:line="252" w:lineRule="auto"/>
        <w:ind w:firstLine="284"/>
        <w:jc w:val="both"/>
        <w:rPr>
          <w:rFonts w:cs="Abz-2 (Badr)"/>
          <w:sz w:val="28"/>
          <w:szCs w:val="28"/>
          <w:rtl/>
          <w:lang w:bidi="fa-IR"/>
        </w:rPr>
      </w:pPr>
      <w:bookmarkStart w:id="0" w:name="_Hlk159096966"/>
    </w:p>
    <w:p w14:paraId="151D9F4F" w14:textId="77777777" w:rsidR="00557A92" w:rsidRDefault="00557A92" w:rsidP="00557A92">
      <w:pPr>
        <w:pStyle w:val="NormalWeb"/>
        <w:widowControl w:val="0"/>
        <w:bidi/>
        <w:spacing w:before="0" w:beforeAutospacing="0" w:after="0" w:afterAutospacing="0" w:line="254" w:lineRule="auto"/>
        <w:ind w:firstLine="284"/>
        <w:jc w:val="both"/>
        <w:rPr>
          <w:rFonts w:cs="Abz-2 (Badr)"/>
          <w:color w:val="C45911" w:themeColor="accent2" w:themeShade="BF"/>
          <w:sz w:val="28"/>
          <w:szCs w:val="28"/>
          <w:rtl/>
          <w:lang w:bidi="fa-IR"/>
        </w:rPr>
      </w:pPr>
      <w:r w:rsidRPr="00416D57">
        <w:rPr>
          <w:rFonts w:cs="Abz-2 (Badr)" w:hint="cs"/>
          <w:color w:val="C45911" w:themeColor="accent2" w:themeShade="BF"/>
          <w:sz w:val="28"/>
          <w:szCs w:val="28"/>
          <w:rtl/>
          <w:lang w:bidi="fa-IR"/>
        </w:rPr>
        <w:t xml:space="preserve">مقام </w:t>
      </w:r>
      <w:r>
        <w:rPr>
          <w:rFonts w:cs="Abz-2 (Badr)" w:hint="cs"/>
          <w:color w:val="C45911" w:themeColor="accent2" w:themeShade="BF"/>
          <w:sz w:val="28"/>
          <w:szCs w:val="28"/>
          <w:rtl/>
          <w:lang w:bidi="fa-IR"/>
        </w:rPr>
        <w:t>نه</w:t>
      </w:r>
      <w:r w:rsidRPr="00416D57">
        <w:rPr>
          <w:rFonts w:cs="Abz-2 (Badr)" w:hint="cs"/>
          <w:color w:val="C45911" w:themeColor="accent2" w:themeShade="BF"/>
          <w:sz w:val="28"/>
          <w:szCs w:val="28"/>
          <w:rtl/>
          <w:lang w:bidi="fa-IR"/>
        </w:rPr>
        <w:t xml:space="preserve">م: موارد تقدّم حضانت </w:t>
      </w:r>
      <w:r>
        <w:rPr>
          <w:rFonts w:cs="Abz-2 (Badr)" w:hint="cs"/>
          <w:color w:val="C45911" w:themeColor="accent2" w:themeShade="BF"/>
          <w:sz w:val="28"/>
          <w:szCs w:val="28"/>
          <w:rtl/>
          <w:lang w:bidi="fa-IR"/>
        </w:rPr>
        <w:t>پ</w:t>
      </w:r>
      <w:r w:rsidRPr="00416D57">
        <w:rPr>
          <w:rFonts w:cs="Abz-2 (Badr)" w:hint="cs"/>
          <w:color w:val="C45911" w:themeColor="accent2" w:themeShade="BF"/>
          <w:sz w:val="28"/>
          <w:szCs w:val="28"/>
          <w:rtl/>
          <w:lang w:bidi="fa-IR"/>
        </w:rPr>
        <w:t>در</w:t>
      </w:r>
    </w:p>
    <w:p w14:paraId="2C75575E" w14:textId="77777777" w:rsidR="00557A92" w:rsidRDefault="00557A92" w:rsidP="00557A92">
      <w:pPr>
        <w:pStyle w:val="NormalWeb"/>
        <w:widowControl w:val="0"/>
        <w:bidi/>
        <w:spacing w:before="0" w:beforeAutospacing="0" w:after="0" w:afterAutospacing="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برخی از موارد، در زمانی که حق حضانت با مادر است، حق پدر در حضانت بر حق مادر تقدم پيدا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w:t>
      </w:r>
    </w:p>
    <w:p w14:paraId="2CA5776F" w14:textId="77777777" w:rsidR="00557A92" w:rsidRPr="008A37C4" w:rsidRDefault="00557A92" w:rsidP="00557A92">
      <w:pPr>
        <w:pStyle w:val="NormalWeb"/>
        <w:widowControl w:val="0"/>
        <w:bidi/>
        <w:spacing w:before="0" w:beforeAutospacing="0" w:after="0" w:afterAutospacing="0" w:line="254" w:lineRule="auto"/>
        <w:ind w:firstLine="284"/>
        <w:jc w:val="both"/>
        <w:rPr>
          <w:rFonts w:cs="Abz-2 (Badr)"/>
          <w:color w:val="FF0000"/>
          <w:sz w:val="28"/>
          <w:szCs w:val="28"/>
          <w:rtl/>
          <w:lang w:bidi="fa-IR"/>
        </w:rPr>
      </w:pPr>
      <w:r w:rsidRPr="008A37C4">
        <w:rPr>
          <w:rFonts w:cs="Abz-2 (Badr)" w:hint="cs"/>
          <w:color w:val="FF0000"/>
          <w:sz w:val="28"/>
          <w:szCs w:val="28"/>
          <w:rtl/>
          <w:lang w:bidi="fa-IR"/>
        </w:rPr>
        <w:t>مورد اول: نکاح مادر</w:t>
      </w:r>
    </w:p>
    <w:p w14:paraId="62E39F56" w14:textId="77777777" w:rsidR="00557A92" w:rsidRDefault="00557A92" w:rsidP="00557A92">
      <w:pPr>
        <w:pStyle w:val="NormalWeb"/>
        <w:widowControl w:val="0"/>
        <w:bidi/>
        <w:spacing w:before="0" w:beforeAutospacing="0" w:after="0" w:afterAutospacing="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پدر و مادر از هم جدا شده باشند و مادر در زمانی که حق حضانت فرزند با وی است، با مرد ديگری ازدواج کند، پدر در حضانت بر وی مقدّم شده و فرزند برای حضانت به وی تحويل داده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w:t>
      </w:r>
    </w:p>
    <w:p w14:paraId="5164810E" w14:textId="77777777" w:rsidR="00557A92" w:rsidRPr="00586349" w:rsidRDefault="00557A92" w:rsidP="00557A92">
      <w:pPr>
        <w:pStyle w:val="NormalWeb"/>
        <w:widowControl w:val="0"/>
        <w:bidi/>
        <w:spacing w:before="0" w:beforeAutospacing="0" w:after="0" w:afterAutospacing="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شهيد ثانی در روضه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586349">
        <w:rPr>
          <w:rFonts w:ascii="Traditional Arabic" w:hAnsi="Traditional Arabic" w:cs="Abz-2 (Badr)" w:hint="cs"/>
          <w:color w:val="0070C0"/>
          <w:sz w:val="28"/>
          <w:szCs w:val="28"/>
          <w:rtl/>
          <w:lang w:bidi="fa-IR"/>
        </w:rPr>
        <w:t>«</w:t>
      </w:r>
      <w:r w:rsidRPr="00586349">
        <w:rPr>
          <w:rFonts w:ascii="Traditional Arabic" w:hAnsi="Traditional Arabic" w:cs="Abz-2 (Badr)"/>
          <w:color w:val="0070C0"/>
          <w:sz w:val="28"/>
          <w:szCs w:val="28"/>
          <w:rtl/>
          <w:lang w:bidi="ar"/>
        </w:rPr>
        <w:t>لو تزو</w:t>
      </w:r>
      <w:r w:rsidRPr="00586349">
        <w:rPr>
          <w:rFonts w:ascii="Traditional Arabic" w:hAnsi="Traditional Arabic" w:cs="Abz-2 (Badr)" w:hint="cs"/>
          <w:color w:val="0070C0"/>
          <w:sz w:val="28"/>
          <w:szCs w:val="28"/>
          <w:rtl/>
          <w:lang w:bidi="ar"/>
        </w:rPr>
        <w:t>ّ</w:t>
      </w:r>
      <w:r w:rsidRPr="00586349">
        <w:rPr>
          <w:rFonts w:ascii="Traditional Arabic" w:hAnsi="Traditional Arabic" w:cs="Abz-2 (Badr)"/>
          <w:color w:val="0070C0"/>
          <w:sz w:val="28"/>
          <w:szCs w:val="28"/>
          <w:rtl/>
          <w:lang w:bidi="ar"/>
        </w:rPr>
        <w:t>جت الأ</w:t>
      </w:r>
      <w:r w:rsidRPr="00586349">
        <w:rPr>
          <w:rFonts w:ascii="Traditional Arabic" w:hAnsi="Traditional Arabic" w:cs="Abz-2 (Badr)" w:hint="cs"/>
          <w:color w:val="0070C0"/>
          <w:sz w:val="28"/>
          <w:szCs w:val="28"/>
          <w:rtl/>
          <w:lang w:bidi="ar"/>
        </w:rPr>
        <w:t>ُ</w:t>
      </w:r>
      <w:r w:rsidRPr="00586349">
        <w:rPr>
          <w:rFonts w:ascii="Traditional Arabic" w:hAnsi="Traditional Arabic" w:cs="Abz-2 (Badr)"/>
          <w:color w:val="0070C0"/>
          <w:sz w:val="28"/>
          <w:szCs w:val="28"/>
          <w:rtl/>
          <w:lang w:bidi="ar"/>
        </w:rPr>
        <w:t>م</w:t>
      </w:r>
      <w:r w:rsidRPr="00586349">
        <w:rPr>
          <w:rFonts w:ascii="Traditional Arabic" w:hAnsi="Traditional Arabic" w:cs="Abz-2 (Badr)" w:hint="cs"/>
          <w:color w:val="0070C0"/>
          <w:sz w:val="28"/>
          <w:szCs w:val="28"/>
          <w:rtl/>
          <w:lang w:bidi="ar"/>
        </w:rPr>
        <w:t>ّ</w:t>
      </w:r>
      <w:r w:rsidRPr="00586349">
        <w:rPr>
          <w:rFonts w:ascii="Traditional Arabic" w:hAnsi="Traditional Arabic" w:cs="Abz-2 (Badr)"/>
          <w:color w:val="0070C0"/>
          <w:sz w:val="28"/>
          <w:szCs w:val="28"/>
          <w:rtl/>
          <w:lang w:bidi="ar"/>
        </w:rPr>
        <w:t xml:space="preserve"> بغير الأب مع وجوده كاملا</w:t>
      </w:r>
      <w:r w:rsidRPr="00586349">
        <w:rPr>
          <w:rFonts w:ascii="Traditional Arabic" w:hAnsi="Traditional Arabic" w:cs="Abz-2 (Badr)" w:hint="cs"/>
          <w:color w:val="0070C0"/>
          <w:sz w:val="28"/>
          <w:szCs w:val="28"/>
          <w:rtl/>
          <w:lang w:bidi="ar"/>
        </w:rPr>
        <w:t xml:space="preserve">ً، </w:t>
      </w:r>
      <w:r w:rsidRPr="00586349">
        <w:rPr>
          <w:rFonts w:ascii="Traditional Arabic" w:hAnsi="Traditional Arabic" w:cs="Abz-2 (Badr)"/>
          <w:color w:val="0070C0"/>
          <w:sz w:val="28"/>
          <w:szCs w:val="28"/>
          <w:rtl/>
          <w:lang w:bidi="ar"/>
        </w:rPr>
        <w:t>سقطت حضانتها</w:t>
      </w:r>
      <w:r w:rsidRPr="00586349">
        <w:rPr>
          <w:rFonts w:ascii="Traditional Arabic" w:hAnsi="Traditional Arabic" w:cs="Abz-2 (Badr)" w:hint="cs"/>
          <w:color w:val="0070C0"/>
          <w:sz w:val="28"/>
          <w:szCs w:val="28"/>
          <w:rtl/>
          <w:lang w:bidi="ar"/>
        </w:rPr>
        <w:t>،</w:t>
      </w:r>
      <w:r w:rsidRPr="00586349">
        <w:rPr>
          <w:rFonts w:ascii="Traditional Arabic" w:hAnsi="Traditional Arabic" w:cs="Abz-2 (Badr)"/>
          <w:color w:val="0070C0"/>
          <w:sz w:val="28"/>
          <w:szCs w:val="28"/>
          <w:rtl/>
          <w:lang w:bidi="ar"/>
        </w:rPr>
        <w:t xml:space="preserve"> للنص</w:t>
      </w:r>
      <w:r w:rsidRPr="00586349">
        <w:rPr>
          <w:rFonts w:ascii="Traditional Arabic" w:hAnsi="Traditional Arabic" w:cs="Abz-2 (Badr)" w:hint="cs"/>
          <w:color w:val="0070C0"/>
          <w:sz w:val="28"/>
          <w:szCs w:val="28"/>
          <w:rtl/>
          <w:lang w:bidi="ar"/>
        </w:rPr>
        <w:t>ّ</w:t>
      </w:r>
      <w:r w:rsidRPr="00586349">
        <w:rPr>
          <w:rFonts w:ascii="Traditional Arabic" w:hAnsi="Traditional Arabic" w:cs="Abz-2 (Badr)"/>
          <w:color w:val="0070C0"/>
          <w:sz w:val="28"/>
          <w:szCs w:val="28"/>
          <w:rtl/>
          <w:lang w:bidi="ar"/>
        </w:rPr>
        <w:t xml:space="preserve"> والإجماع</w:t>
      </w:r>
      <w:r w:rsidRPr="00586349">
        <w:rPr>
          <w:rFonts w:ascii="Traditional Arabic" w:hAnsi="Traditional Arabic" w:cs="Abz-2 (Badr)" w:hint="cs"/>
          <w:color w:val="0070C0"/>
          <w:sz w:val="28"/>
          <w:szCs w:val="28"/>
          <w:rtl/>
          <w:lang w:bidi="ar"/>
        </w:rPr>
        <w:t>.»</w:t>
      </w:r>
      <w:r>
        <w:rPr>
          <w:rStyle w:val="FootnoteReference"/>
          <w:rFonts w:cs="Abz-2 (Badr)"/>
          <w:rtl/>
          <w:lang w:bidi="ar"/>
        </w:rPr>
        <w:footnoteReference w:id="1"/>
      </w:r>
    </w:p>
    <w:p w14:paraId="17B7D59F" w14:textId="77777777" w:rsidR="00557A92" w:rsidRDefault="00557A92" w:rsidP="00557A92">
      <w:pPr>
        <w:pStyle w:val="NormalWeb"/>
        <w:widowControl w:val="0"/>
        <w:bidi/>
        <w:spacing w:before="0" w:beforeAutospacing="0" w:after="0" w:afterAutospacing="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ذکر قيد «بغير الأب» به جهت اشاره به خلافی است که در مسأله در خصوص مطلق نکاح مادر يا خصوص نکاح با غير پدر فرزند وجود دارد و در ادامه به بيان آن خواهيم پرداخت ان شاء الله.</w:t>
      </w:r>
    </w:p>
    <w:p w14:paraId="028AFEF2" w14:textId="77777777" w:rsidR="00557A92" w:rsidRDefault="00557A92" w:rsidP="00557A92">
      <w:pPr>
        <w:pStyle w:val="NormalWeb"/>
        <w:widowControl w:val="0"/>
        <w:bidi/>
        <w:spacing w:before="0" w:beforeAutospacing="0" w:after="0" w:afterAutospacing="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ذکر قيد «کاملاً» نيز به جهت اشاره به اين مطلب است که سقوط حق حضانت مادر به واسطه نکاح در جايی است که پدر شرائط حضانت فرزند را دارا باشد.</w:t>
      </w:r>
    </w:p>
    <w:p w14:paraId="296336A6" w14:textId="77777777" w:rsidR="00557A92" w:rsidRDefault="00557A92" w:rsidP="00557A92">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مراد از نص، مرسله منقری و معتبره داود رقی است که در اولی آمده است: </w:t>
      </w:r>
      <w:r w:rsidRPr="00586349">
        <w:rPr>
          <w:rFonts w:cs="Abz-2 (Badr)" w:hint="cs"/>
          <w:color w:val="00B0F0"/>
          <w:sz w:val="28"/>
          <w:szCs w:val="28"/>
          <w:rtl/>
          <w:lang w:bidi="ar"/>
        </w:rPr>
        <w:t>«</w:t>
      </w:r>
      <w:r>
        <w:rPr>
          <w:rFonts w:cs="Abz-2 (Badr)" w:hint="cs"/>
          <w:color w:val="00B0F0"/>
          <w:sz w:val="28"/>
          <w:szCs w:val="28"/>
          <w:rtl/>
          <w:lang w:bidi="ar"/>
        </w:rPr>
        <w:t>...</w:t>
      </w:r>
      <w:r w:rsidRPr="00EB7D5B">
        <w:rPr>
          <w:rFonts w:cs="Abz-2 (Badr)"/>
          <w:color w:val="00B0F0"/>
          <w:sz w:val="28"/>
          <w:szCs w:val="28"/>
          <w:rtl/>
          <w:lang w:bidi="ar"/>
        </w:rPr>
        <w:t>المرأة أحقّ بالولد ما لم تتزوّج</w:t>
      </w:r>
      <w:r w:rsidRPr="00EB7D5B">
        <w:rPr>
          <w:rFonts w:cs="Abz-2 (Badr)" w:hint="cs"/>
          <w:color w:val="00B0F0"/>
          <w:sz w:val="28"/>
          <w:szCs w:val="28"/>
          <w:rtl/>
          <w:lang w:bidi="ar"/>
        </w:rPr>
        <w:t>»</w:t>
      </w:r>
      <w:r>
        <w:rPr>
          <w:rStyle w:val="FootnoteReference"/>
          <w:rFonts w:cs="Abz-2 (Badr)"/>
          <w:sz w:val="28"/>
          <w:szCs w:val="28"/>
          <w:rtl/>
          <w:lang w:bidi="ar"/>
        </w:rPr>
        <w:footnoteReference w:id="2"/>
      </w:r>
      <w:r>
        <w:rPr>
          <w:rFonts w:cs="Abz-2 (Badr)" w:hint="cs"/>
          <w:color w:val="00B0F0"/>
          <w:sz w:val="28"/>
          <w:szCs w:val="28"/>
          <w:rtl/>
          <w:lang w:bidi="ar"/>
        </w:rPr>
        <w:t xml:space="preserve"> </w:t>
      </w:r>
      <w:r w:rsidRPr="00586349">
        <w:rPr>
          <w:rFonts w:cs="Abz-2 (Badr)" w:hint="cs"/>
          <w:color w:val="000000" w:themeColor="text1"/>
          <w:sz w:val="28"/>
          <w:szCs w:val="28"/>
          <w:rtl/>
          <w:lang w:bidi="ar"/>
        </w:rPr>
        <w:t xml:space="preserve">و در دومی نيز آمده است: </w:t>
      </w:r>
      <w:r>
        <w:rPr>
          <w:rFonts w:cs="Abz-2 (Badr)" w:hint="cs"/>
          <w:color w:val="00B0F0"/>
          <w:sz w:val="28"/>
          <w:szCs w:val="28"/>
          <w:rtl/>
          <w:lang w:bidi="ar"/>
        </w:rPr>
        <w:t>«</w:t>
      </w:r>
      <w:r w:rsidRPr="00EB7D5B">
        <w:rPr>
          <w:rFonts w:cs="Abz-2 (Badr)"/>
          <w:color w:val="00B0F0"/>
          <w:spacing w:val="-2"/>
          <w:sz w:val="28"/>
          <w:szCs w:val="28"/>
          <w:rtl/>
          <w:lang w:bidi="ar"/>
        </w:rPr>
        <w:t>سألت أبا عبدالله</w:t>
      </w:r>
      <w:r w:rsidRPr="00EB7D5B">
        <w:rPr>
          <w:rFonts w:cs="Abz-2 (Badr)" w:hint="cs"/>
          <w:color w:val="00B0F0"/>
          <w:spacing w:val="-2"/>
          <w:sz w:val="28"/>
          <w:szCs w:val="28"/>
          <w:rtl/>
          <w:lang w:bidi="ar"/>
        </w:rPr>
        <w:t>(ع)</w:t>
      </w:r>
      <w:r w:rsidRPr="00EB7D5B">
        <w:rPr>
          <w:rFonts w:cs="Abz-2 (Badr)"/>
          <w:color w:val="00B0F0"/>
          <w:spacing w:val="-2"/>
          <w:sz w:val="28"/>
          <w:szCs w:val="28"/>
          <w:rtl/>
          <w:lang w:bidi="ar"/>
        </w:rPr>
        <w:t xml:space="preserve"> عن امرأة حرّة نكحت عبدا</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فأولدها أولادا</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ثمّ إنّه طلّقها فلم تقم مع ولدها وتزوّجت</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فلمّا بلغ العبد أنّها تزوّجت أراد أن يأخذ ولده منها وقال</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w:t>
      </w:r>
      <w:r w:rsidRPr="00EB7D5B">
        <w:rPr>
          <w:rFonts w:cs="Abz-2 (Badr)" w:hint="cs"/>
          <w:color w:val="00B0F0"/>
          <w:spacing w:val="-2"/>
          <w:sz w:val="28"/>
          <w:szCs w:val="28"/>
          <w:rtl/>
          <w:lang w:bidi="ar"/>
        </w:rPr>
        <w:t>«</w:t>
      </w:r>
      <w:r w:rsidRPr="00EB7D5B">
        <w:rPr>
          <w:rFonts w:cs="Abz-2 (Badr)"/>
          <w:color w:val="00B0F0"/>
          <w:spacing w:val="-2"/>
          <w:sz w:val="28"/>
          <w:szCs w:val="28"/>
          <w:rtl/>
          <w:lang w:bidi="ar"/>
        </w:rPr>
        <w:t>أنا أحقّ بهم منك إن تزوّجت</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فقال</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ليس للعبد أن </w:t>
      </w:r>
      <w:r w:rsidRPr="00EB7D5B">
        <w:rPr>
          <w:rFonts w:cs="Abz-2 (Badr)"/>
          <w:color w:val="00B0F0"/>
          <w:spacing w:val="-2"/>
          <w:sz w:val="28"/>
          <w:szCs w:val="28"/>
          <w:rtl/>
          <w:lang w:bidi="ar"/>
        </w:rPr>
        <w:lastRenderedPageBreak/>
        <w:t>يأخذ منها ولدها وإن تزوّجت حتّى يعتق</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هي أحقّ بولدها منه مادام مملوكا</w:t>
      </w:r>
      <w:r w:rsidRPr="00EB7D5B">
        <w:rPr>
          <w:rFonts w:cs="Abz-2 (Badr)" w:hint="cs"/>
          <w:color w:val="00B0F0"/>
          <w:spacing w:val="-2"/>
          <w:sz w:val="28"/>
          <w:szCs w:val="28"/>
          <w:rtl/>
          <w:lang w:bidi="ar"/>
        </w:rPr>
        <w:t>ً،</w:t>
      </w:r>
      <w:r w:rsidRPr="00EB7D5B">
        <w:rPr>
          <w:rFonts w:cs="Abz-2 (Badr)"/>
          <w:color w:val="00B0F0"/>
          <w:spacing w:val="-2"/>
          <w:sz w:val="28"/>
          <w:szCs w:val="28"/>
          <w:rtl/>
          <w:lang w:bidi="ar"/>
        </w:rPr>
        <w:t xml:space="preserve"> فإذا أ</w:t>
      </w:r>
      <w:r w:rsidRPr="00EB7D5B">
        <w:rPr>
          <w:rFonts w:cs="Abz-2 (Badr)" w:hint="cs"/>
          <w:color w:val="00B0F0"/>
          <w:spacing w:val="-2"/>
          <w:sz w:val="28"/>
          <w:szCs w:val="28"/>
          <w:rtl/>
          <w:lang w:bidi="ar"/>
        </w:rPr>
        <w:t>ُ</w:t>
      </w:r>
      <w:r w:rsidRPr="00EB7D5B">
        <w:rPr>
          <w:rFonts w:cs="Abz-2 (Badr)"/>
          <w:color w:val="00B0F0"/>
          <w:spacing w:val="-2"/>
          <w:sz w:val="28"/>
          <w:szCs w:val="28"/>
          <w:rtl/>
          <w:lang w:bidi="ar"/>
        </w:rPr>
        <w:t>عتق فهو أحقّ بهم منها.</w:t>
      </w:r>
      <w:r w:rsidRPr="00EB7D5B">
        <w:rPr>
          <w:rFonts w:cs="Abz-2 (Badr)" w:hint="cs"/>
          <w:color w:val="00B0F0"/>
          <w:spacing w:val="-2"/>
          <w:sz w:val="28"/>
          <w:szCs w:val="28"/>
          <w:rtl/>
          <w:lang w:bidi="ar"/>
        </w:rPr>
        <w:t>»</w:t>
      </w:r>
      <w:r>
        <w:rPr>
          <w:rStyle w:val="FootnoteReference"/>
          <w:rFonts w:cs="Abz-2 (Badr)"/>
          <w:sz w:val="28"/>
          <w:szCs w:val="28"/>
          <w:rtl/>
          <w:lang w:bidi="ar"/>
        </w:rPr>
        <w:footnoteReference w:id="3"/>
      </w:r>
      <w:r>
        <w:rPr>
          <w:rFonts w:cs="Abz-2 (Badr)" w:hint="cs"/>
          <w:color w:val="00B0F0"/>
          <w:spacing w:val="-2"/>
          <w:sz w:val="28"/>
          <w:szCs w:val="28"/>
          <w:rtl/>
          <w:lang w:bidi="ar"/>
        </w:rPr>
        <w:t xml:space="preserve"> </w:t>
      </w:r>
      <w:r w:rsidRPr="00586349">
        <w:rPr>
          <w:rFonts w:ascii="Traditional Arabic" w:hAnsi="Traditional Arabic" w:cs="Abz-2 (Badr)" w:hint="cs"/>
          <w:color w:val="000000" w:themeColor="text1"/>
          <w:sz w:val="28"/>
          <w:szCs w:val="28"/>
          <w:rtl/>
          <w:lang w:bidi="fa-IR"/>
        </w:rPr>
        <w:t xml:space="preserve">و ظاهر از آن اين است که </w:t>
      </w:r>
      <w:r>
        <w:rPr>
          <w:rFonts w:ascii="Traditional Arabic" w:hAnsi="Traditional Arabic" w:cs="Abz-2 (Badr)" w:hint="cs"/>
          <w:color w:val="000000" w:themeColor="text1"/>
          <w:sz w:val="28"/>
          <w:szCs w:val="28"/>
          <w:rtl/>
          <w:lang w:bidi="fa-IR"/>
        </w:rPr>
        <w:t>تقدّم حق حضانت پدر بر مادر در صورت نکاح مادر، امری مفروغ عنه در نظر گرفته شده است و مانع از اين تقدّم، رقّيّت پدر عنوان شده است؛ فلذا امام(ع)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فرمايد: اگر پدر آزاد شود، در حضانت بر مادر تقدّم پيدا خواهد کرد.</w:t>
      </w:r>
    </w:p>
    <w:p w14:paraId="5E3442A4" w14:textId="77777777" w:rsidR="00557A92" w:rsidRDefault="00557A92" w:rsidP="00557A92">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ادعای اجماع در مسأله صحيح نيست، زيرا برخی از اصحاب هرچند قائل به سقوط حق حضانت مادر به واسطه نکاح شده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اما پدر را مقدّم نکرده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بلکه حضانت را مختص افراد ديگری در اين صورت دانسته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w:t>
      </w:r>
    </w:p>
    <w:p w14:paraId="15ED713C" w14:textId="77777777" w:rsidR="00557A92" w:rsidRPr="003E2379" w:rsidRDefault="00557A92" w:rsidP="00557A92">
      <w:pPr>
        <w:widowControl w:val="0"/>
        <w:bidi/>
        <w:spacing w:after="0" w:line="254"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شيخ در مبسوط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3E2379">
        <w:rPr>
          <w:rFonts w:ascii="Traditional Arabic" w:hAnsi="Traditional Arabic" w:cs="Abz-2 (Badr)" w:hint="cs"/>
          <w:color w:val="0070C0"/>
          <w:sz w:val="28"/>
          <w:szCs w:val="28"/>
          <w:rtl/>
          <w:lang w:bidi="fa-IR"/>
        </w:rPr>
        <w:t>«</w:t>
      </w:r>
      <w:r w:rsidRPr="003E2379">
        <w:rPr>
          <w:rFonts w:ascii="Traditional Arabic" w:hAnsi="Traditional Arabic" w:cs="Abz-2 (Badr)"/>
          <w:color w:val="0070C0"/>
          <w:sz w:val="28"/>
          <w:szCs w:val="28"/>
          <w:rtl/>
          <w:lang w:bidi="ar"/>
        </w:rPr>
        <w:t>إذا تزو</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جت المرأة</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سقط حق</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ها من الحضانة وزال التخيير</w:t>
      </w:r>
      <w:r w:rsidRPr="003E2379">
        <w:rPr>
          <w:rFonts w:ascii="Traditional Arabic" w:hAnsi="Traditional Arabic" w:cs="Abz-2 (Badr)" w:hint="cs"/>
          <w:color w:val="0070C0"/>
          <w:sz w:val="28"/>
          <w:szCs w:val="28"/>
          <w:rtl/>
          <w:lang w:bidi="ar"/>
        </w:rPr>
        <w:t>.</w:t>
      </w:r>
    </w:p>
    <w:p w14:paraId="511DD49A" w14:textId="77777777" w:rsidR="00557A92" w:rsidRDefault="00557A92" w:rsidP="00557A92">
      <w:pPr>
        <w:widowControl w:val="0"/>
        <w:bidi/>
        <w:spacing w:after="0" w:line="252" w:lineRule="auto"/>
        <w:ind w:firstLine="284"/>
        <w:jc w:val="both"/>
        <w:rPr>
          <w:rFonts w:ascii="Traditional Arabic" w:hAnsi="Traditional Arabic" w:cs="Abz-2 (Badr)"/>
          <w:color w:val="0070C0"/>
          <w:sz w:val="28"/>
          <w:szCs w:val="28"/>
          <w:rtl/>
          <w:lang w:bidi="ar"/>
        </w:rPr>
      </w:pPr>
      <w:r w:rsidRPr="003E2379">
        <w:rPr>
          <w:rFonts w:ascii="Traditional Arabic" w:hAnsi="Traditional Arabic" w:cs="Abz-2 (Badr)"/>
          <w:color w:val="0070C0"/>
          <w:sz w:val="28"/>
          <w:szCs w:val="28"/>
          <w:rtl/>
          <w:lang w:bidi="ar"/>
        </w:rPr>
        <w:t>وإن كان له أ</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م</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أ</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م</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لا زوج لها</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قامت مقامها، وإن كان ل</w:t>
      </w:r>
      <w:r w:rsidRPr="003E2379">
        <w:rPr>
          <w:rFonts w:ascii="Traditional Arabic" w:hAnsi="Traditional Arabic" w:cs="Abz-2 (Badr)" w:hint="cs"/>
          <w:color w:val="0070C0"/>
          <w:sz w:val="28"/>
          <w:szCs w:val="28"/>
          <w:rtl/>
          <w:lang w:bidi="ar"/>
        </w:rPr>
        <w:t>أُ</w:t>
      </w:r>
      <w:r w:rsidRPr="003E2379">
        <w:rPr>
          <w:rFonts w:ascii="Traditional Arabic" w:hAnsi="Traditional Arabic" w:cs="Abz-2 (Badr)"/>
          <w:color w:val="0070C0"/>
          <w:sz w:val="28"/>
          <w:szCs w:val="28"/>
          <w:rtl/>
          <w:lang w:bidi="ar"/>
        </w:rPr>
        <w:t>م</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ها زوج هو جد</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هذا الطفل</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قامت مقامها، وإن كان أجنبي</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ا</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فالأب أحق</w:t>
      </w:r>
      <w:r w:rsidRPr="003E2379">
        <w:rPr>
          <w:rFonts w:ascii="Traditional Arabic" w:hAnsi="Traditional Arabic" w:cs="Abz-2 (Badr)" w:hint="cs"/>
          <w:color w:val="0070C0"/>
          <w:sz w:val="28"/>
          <w:szCs w:val="28"/>
          <w:rtl/>
          <w:lang w:bidi="ar"/>
        </w:rPr>
        <w:t>ّ</w:t>
      </w:r>
      <w:r w:rsidRPr="003E2379">
        <w:rPr>
          <w:rFonts w:ascii="Traditional Arabic" w:hAnsi="Traditional Arabic" w:cs="Abz-2 (Badr)"/>
          <w:color w:val="0070C0"/>
          <w:sz w:val="28"/>
          <w:szCs w:val="28"/>
          <w:rtl/>
          <w:lang w:bidi="ar"/>
        </w:rPr>
        <w:t xml:space="preserve"> به</w:t>
      </w:r>
      <w:r w:rsidRPr="003E2379">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4"/>
      </w:r>
    </w:p>
    <w:p w14:paraId="0071EE91" w14:textId="77777777" w:rsidR="00557A92" w:rsidRDefault="00557A92" w:rsidP="00557A92">
      <w:pPr>
        <w:widowControl w:val="0"/>
        <w:bidi/>
        <w:spacing w:after="0" w:line="252" w:lineRule="auto"/>
        <w:ind w:firstLine="284"/>
        <w:jc w:val="both"/>
        <w:rPr>
          <w:rFonts w:ascii="Traditional Arabic" w:hAnsi="Traditional Arabic" w:cs="Abz-2 (Badr)"/>
          <w:color w:val="000000" w:themeColor="text1"/>
          <w:sz w:val="28"/>
          <w:szCs w:val="28"/>
          <w:rtl/>
        </w:rPr>
      </w:pPr>
      <w:r w:rsidRPr="003E2379">
        <w:rPr>
          <w:rFonts w:ascii="Traditional Arabic" w:hAnsi="Traditional Arabic" w:cs="Abz-2 (Badr)" w:hint="cs"/>
          <w:color w:val="000000" w:themeColor="text1"/>
          <w:sz w:val="28"/>
          <w:szCs w:val="28"/>
          <w:rtl/>
        </w:rPr>
        <w:t xml:space="preserve">شايد وجه اين مدعا اين باشد که </w:t>
      </w:r>
      <w:r>
        <w:rPr>
          <w:rFonts w:ascii="Traditional Arabic" w:hAnsi="Traditional Arabic" w:cs="Abz-2 (Badr)" w:hint="cs"/>
          <w:color w:val="000000" w:themeColor="text1"/>
          <w:sz w:val="28"/>
          <w:szCs w:val="28"/>
          <w:rtl/>
        </w:rPr>
        <w:t>آنچه که از اخبار به دست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آيد، سقوط حق حضانت مادر به واسطه نکاح وی است، ولی اين که پدر در اين صورت احق به حضانت خواهد بود، دليلی ندارد، فلذا کسی که اقرب به مادر است حصانت فرزند را بر عهده خواهد گرفت که همان مادر مادر است، مگر اين که خود او نيز با مردی که جد اين فرزند نيست، ازدواج کرده باشد که در اين صورت حضانت به پدر سپرده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شود.</w:t>
      </w:r>
    </w:p>
    <w:p w14:paraId="2DD9E341" w14:textId="77777777" w:rsidR="00557A92" w:rsidRDefault="00557A92" w:rsidP="00557A92">
      <w:pPr>
        <w:widowControl w:val="0"/>
        <w:bidi/>
        <w:spacing w:after="0" w:line="252"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ولی اشکال اين استدلال اين است که همان گونه که گذشت، آنچه از اخبار به دست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آيد اين است که هر کدام از پدر و مادر، دارای حق حضانت هستند و آنچه که در يک زمان سبب تقدّم حق مادر و در زمانی ديگر سبب تقدّم حق پدر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شود، اقوی بودن حق آنها به نسبت به ديگری است. در نتيجه اگر حق حضانت مادر به جهتی ساقط شود، مانع حق حضانت پدر بر طرف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شود و حضانت فرزند به وی تعلّق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يابد و وجهی برای سپردن فرزند به غير پدر برای حضانت وی در فرض نکاح مادر، وجود ندارد.</w:t>
      </w:r>
    </w:p>
    <w:p w14:paraId="1AEFFF65" w14:textId="77777777" w:rsidR="00557A92" w:rsidRPr="0032503C" w:rsidRDefault="00557A92" w:rsidP="00557A92">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rPr>
        <w:lastRenderedPageBreak/>
        <w:t>اما علامه در مختلف، استدلال ديگری برای سقوط حق حضانت مادر در صورت نکاح وی ذکر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کند و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 xml:space="preserve">فرمايد: </w:t>
      </w:r>
      <w:r w:rsidRPr="007161C5">
        <w:rPr>
          <w:rFonts w:ascii="Traditional Arabic" w:hAnsi="Traditional Arabic" w:cs="Abz-2 (Badr)" w:hint="cs"/>
          <w:color w:val="0070C0"/>
          <w:sz w:val="28"/>
          <w:szCs w:val="28"/>
          <w:rtl/>
        </w:rPr>
        <w:t>«</w:t>
      </w:r>
      <w:r w:rsidRPr="0032503C">
        <w:rPr>
          <w:rFonts w:ascii="Traditional Arabic" w:hAnsi="Traditional Arabic" w:cs="Abz-2 (Badr)"/>
          <w:color w:val="0070C0"/>
          <w:sz w:val="28"/>
          <w:szCs w:val="28"/>
          <w:rtl/>
          <w:lang w:bidi="ar"/>
        </w:rPr>
        <w:t>لأنّ‌ الحضانة جعلت إرفاقا</w:t>
      </w:r>
      <w:r w:rsidRPr="007161C5">
        <w:rPr>
          <w:rFonts w:ascii="Traditional Arabic" w:hAnsi="Traditional Arabic" w:cs="Abz-2 (Badr)" w:hint="cs"/>
          <w:color w:val="0070C0"/>
          <w:sz w:val="28"/>
          <w:szCs w:val="28"/>
          <w:rtl/>
          <w:lang w:bidi="ar"/>
        </w:rPr>
        <w:t>ً</w:t>
      </w:r>
      <w:r w:rsidRPr="0032503C">
        <w:rPr>
          <w:rFonts w:ascii="Traditional Arabic" w:hAnsi="Traditional Arabic" w:cs="Abz-2 (Badr)"/>
          <w:color w:val="0070C0"/>
          <w:sz w:val="28"/>
          <w:szCs w:val="28"/>
          <w:rtl/>
          <w:lang w:bidi="ar"/>
        </w:rPr>
        <w:t xml:space="preserve"> بالصبي</w:t>
      </w:r>
      <w:r w:rsidRPr="007161C5">
        <w:rPr>
          <w:rFonts w:ascii="Traditional Arabic" w:hAnsi="Traditional Arabic" w:cs="Abz-2 (Badr)" w:hint="cs"/>
          <w:color w:val="0070C0"/>
          <w:sz w:val="28"/>
          <w:szCs w:val="28"/>
          <w:rtl/>
          <w:lang w:bidi="ar"/>
        </w:rPr>
        <w:t>ّ</w:t>
      </w:r>
      <w:r w:rsidRPr="0032503C">
        <w:rPr>
          <w:rFonts w:ascii="Traditional Arabic" w:hAnsi="Traditional Arabic" w:cs="Abz-2 (Badr)"/>
          <w:color w:val="0070C0"/>
          <w:sz w:val="28"/>
          <w:szCs w:val="28"/>
          <w:rtl/>
          <w:lang w:bidi="ar"/>
        </w:rPr>
        <w:t>، فإذا تزوّجت ال</w:t>
      </w:r>
      <w:r w:rsidRPr="007161C5">
        <w:rPr>
          <w:rFonts w:ascii="Traditional Arabic" w:hAnsi="Traditional Arabic" w:cs="Abz-2 (Badr)" w:hint="cs"/>
          <w:color w:val="0070C0"/>
          <w:sz w:val="28"/>
          <w:szCs w:val="28"/>
          <w:rtl/>
          <w:lang w:bidi="ar"/>
        </w:rPr>
        <w:t>أُ</w:t>
      </w:r>
      <w:r w:rsidRPr="0032503C">
        <w:rPr>
          <w:rFonts w:ascii="Traditional Arabic" w:hAnsi="Traditional Arabic" w:cs="Abz-2 (Badr)"/>
          <w:color w:val="0070C0"/>
          <w:sz w:val="28"/>
          <w:szCs w:val="28"/>
          <w:rtl/>
          <w:lang w:bidi="ar"/>
        </w:rPr>
        <w:t>م</w:t>
      </w:r>
      <w:r w:rsidRPr="007161C5">
        <w:rPr>
          <w:rFonts w:ascii="Traditional Arabic" w:hAnsi="Traditional Arabic" w:cs="Abz-2 (Badr)" w:hint="cs"/>
          <w:color w:val="0070C0"/>
          <w:sz w:val="28"/>
          <w:szCs w:val="28"/>
          <w:rtl/>
          <w:lang w:bidi="ar"/>
        </w:rPr>
        <w:t>ّ</w:t>
      </w:r>
      <w:r w:rsidRPr="0032503C">
        <w:rPr>
          <w:rFonts w:ascii="Traditional Arabic" w:hAnsi="Traditional Arabic" w:cs="Abz-2 (Badr)"/>
          <w:color w:val="0070C0"/>
          <w:sz w:val="28"/>
          <w:szCs w:val="28"/>
          <w:rtl/>
          <w:lang w:bidi="ar"/>
        </w:rPr>
        <w:t>، خرجت باشتغالها بزوجها وحقوقه عن الحضانة للطفل، وربما منعت الزوج بعض حقوقه لو حضنته، فلهذا سقطت</w:t>
      </w:r>
      <w:r w:rsidRPr="007161C5">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5"/>
      </w:r>
    </w:p>
    <w:p w14:paraId="04258F50" w14:textId="77777777" w:rsidR="00557A92" w:rsidRPr="003E2379" w:rsidRDefault="00557A92" w:rsidP="00557A92">
      <w:pPr>
        <w:widowControl w:val="0"/>
        <w:bidi/>
        <w:spacing w:after="0" w:line="252" w:lineRule="auto"/>
        <w:ind w:firstLine="284"/>
        <w:jc w:val="both"/>
        <w:rPr>
          <w:rFonts w:cs="Abz-2 (Badr)"/>
          <w:color w:val="0070C0"/>
          <w:sz w:val="28"/>
          <w:szCs w:val="28"/>
          <w:rtl/>
          <w:lang w:bidi="ar"/>
        </w:rPr>
      </w:pPr>
      <w:r>
        <w:rPr>
          <w:rFonts w:ascii="Traditional Arabic" w:hAnsi="Traditional Arabic" w:cs="Abz-2 (Badr)" w:hint="cs"/>
          <w:color w:val="000000" w:themeColor="text1"/>
          <w:sz w:val="28"/>
          <w:szCs w:val="28"/>
          <w:rtl/>
          <w:lang w:bidi="fa-IR"/>
        </w:rPr>
        <w:t>شهيد ثانی نيز در مسال</w:t>
      </w:r>
      <w:r>
        <w:rPr>
          <w:rFonts w:ascii="Traditional Arabic" w:hAnsi="Traditional Arabic" w:cs="Abz-2 (Badr)" w:hint="cs"/>
          <w:color w:val="000000" w:themeColor="text1"/>
          <w:sz w:val="28"/>
          <w:szCs w:val="28"/>
          <w:rtl/>
        </w:rPr>
        <w:t>ك</w:t>
      </w:r>
      <w:r>
        <w:rPr>
          <w:rFonts w:ascii="Traditional Arabic" w:hAnsi="Traditional Arabic" w:cs="Abz-2 (Badr)" w:hint="cs"/>
          <w:color w:val="000000" w:themeColor="text1"/>
          <w:sz w:val="28"/>
          <w:szCs w:val="28"/>
          <w:rtl/>
          <w:lang w:bidi="fa-IR"/>
        </w:rPr>
        <w:t xml:space="preserve"> فرموده است: </w:t>
      </w:r>
      <w:r w:rsidRPr="003E2379">
        <w:rPr>
          <w:rFonts w:ascii="Traditional Arabic" w:hAnsi="Traditional Arabic" w:cs="Abz-2 (Badr)" w:hint="cs"/>
          <w:color w:val="0070C0"/>
          <w:sz w:val="28"/>
          <w:szCs w:val="28"/>
          <w:rtl/>
          <w:lang w:bidi="fa-IR"/>
        </w:rPr>
        <w:t>«</w:t>
      </w:r>
      <w:r w:rsidRPr="003E2379">
        <w:rPr>
          <w:rFonts w:cs="Abz-2 (Badr)"/>
          <w:color w:val="0070C0"/>
          <w:sz w:val="28"/>
          <w:szCs w:val="28"/>
          <w:rtl/>
          <w:lang w:bidi="ar"/>
        </w:rPr>
        <w:t>لو نكحت سقط حقّها من الحضانة، للأخبار الدالّة عليه</w:t>
      </w:r>
      <w:r w:rsidRPr="003E2379">
        <w:rPr>
          <w:rFonts w:cs="Abz-2 (Badr)" w:hint="cs"/>
          <w:color w:val="0070C0"/>
          <w:sz w:val="28"/>
          <w:szCs w:val="28"/>
          <w:rtl/>
          <w:lang w:bidi="ar"/>
        </w:rPr>
        <w:t>...</w:t>
      </w:r>
      <w:r w:rsidRPr="003E2379">
        <w:rPr>
          <w:rFonts w:cs="Abz-2 (Badr)"/>
          <w:color w:val="0070C0"/>
          <w:sz w:val="28"/>
          <w:szCs w:val="28"/>
          <w:rtl/>
          <w:lang w:bidi="ar"/>
        </w:rPr>
        <w:t xml:space="preserve"> ولأن</w:t>
      </w:r>
      <w:r w:rsidRPr="003E2379">
        <w:rPr>
          <w:rFonts w:cs="Abz-2 (Badr)" w:hint="cs"/>
          <w:color w:val="0070C0"/>
          <w:sz w:val="28"/>
          <w:szCs w:val="28"/>
          <w:rtl/>
          <w:lang w:bidi="ar"/>
        </w:rPr>
        <w:t>ّ</w:t>
      </w:r>
      <w:r w:rsidRPr="003E2379">
        <w:rPr>
          <w:rFonts w:cs="Abz-2 (Badr)"/>
          <w:color w:val="0070C0"/>
          <w:sz w:val="28"/>
          <w:szCs w:val="28"/>
          <w:rtl/>
          <w:lang w:bidi="ar"/>
        </w:rPr>
        <w:t xml:space="preserve"> النكاح يشغلها بحقّ‌ الزوج ويمنعها من الكفالة</w:t>
      </w:r>
      <w:r w:rsidRPr="003E2379">
        <w:rPr>
          <w:rFonts w:cs="Abz-2 (Badr)" w:hint="cs"/>
          <w:color w:val="0070C0"/>
          <w:sz w:val="28"/>
          <w:szCs w:val="28"/>
          <w:rtl/>
          <w:lang w:bidi="ar"/>
        </w:rPr>
        <w:t>.</w:t>
      </w:r>
    </w:p>
    <w:p w14:paraId="2FF7A214" w14:textId="77777777" w:rsidR="00557A92" w:rsidRPr="003E2379" w:rsidRDefault="00557A92" w:rsidP="00557A92">
      <w:pPr>
        <w:widowControl w:val="0"/>
        <w:bidi/>
        <w:spacing w:after="0" w:line="252" w:lineRule="auto"/>
        <w:ind w:firstLine="284"/>
        <w:jc w:val="both"/>
        <w:rPr>
          <w:rFonts w:cs="Abz-2 (Badr)"/>
          <w:color w:val="0070C0"/>
          <w:sz w:val="28"/>
          <w:szCs w:val="28"/>
          <w:rtl/>
          <w:lang w:bidi="ar"/>
        </w:rPr>
      </w:pPr>
      <w:r w:rsidRPr="003E2379">
        <w:rPr>
          <w:rFonts w:cs="Abz-2 (Badr)"/>
          <w:color w:val="0070C0"/>
          <w:sz w:val="28"/>
          <w:szCs w:val="28"/>
          <w:rtl/>
          <w:lang w:bidi="ar"/>
        </w:rPr>
        <w:t>ولا أثر لرضا الزوج كما لا أثر لرضا السيد بحضانة الأمة، لإطلاق النصّ، وقد يرجعان فيتشوّش أمر المولود.</w:t>
      </w:r>
    </w:p>
    <w:p w14:paraId="4A11A954" w14:textId="77777777" w:rsidR="00557A92" w:rsidRPr="003E2379" w:rsidRDefault="00557A92" w:rsidP="00557A92">
      <w:pPr>
        <w:widowControl w:val="0"/>
        <w:bidi/>
        <w:spacing w:after="0" w:line="252" w:lineRule="auto"/>
        <w:ind w:firstLine="284"/>
        <w:jc w:val="both"/>
        <w:rPr>
          <w:rFonts w:cs="Abz-2 (Badr)"/>
          <w:color w:val="0070C0"/>
          <w:sz w:val="28"/>
          <w:szCs w:val="28"/>
          <w:rtl/>
          <w:lang w:bidi="fa-IR"/>
        </w:rPr>
      </w:pPr>
      <w:r w:rsidRPr="003E2379">
        <w:rPr>
          <w:rFonts w:cs="Abz-2 (Badr)"/>
          <w:color w:val="0070C0"/>
          <w:sz w:val="28"/>
          <w:szCs w:val="28"/>
          <w:rtl/>
          <w:lang w:bidi="ar"/>
        </w:rPr>
        <w:t>ولا فرق عندنا بين تزويجها بقريب الزوج وغيره عملا</w:t>
      </w:r>
      <w:r w:rsidRPr="003E2379">
        <w:rPr>
          <w:rFonts w:cs="Abz-2 (Badr)" w:hint="cs"/>
          <w:color w:val="0070C0"/>
          <w:sz w:val="28"/>
          <w:szCs w:val="28"/>
          <w:rtl/>
          <w:lang w:bidi="ar"/>
        </w:rPr>
        <w:t>ً</w:t>
      </w:r>
      <w:r w:rsidRPr="003E2379">
        <w:rPr>
          <w:rFonts w:cs="Abz-2 (Badr)"/>
          <w:color w:val="0070C0"/>
          <w:sz w:val="28"/>
          <w:szCs w:val="28"/>
          <w:rtl/>
          <w:lang w:bidi="ar"/>
        </w:rPr>
        <w:t xml:space="preserve"> بإطلاق النص</w:t>
      </w:r>
      <w:r w:rsidRPr="003E2379">
        <w:rPr>
          <w:rFonts w:cs="Abz-2 (Badr)" w:hint="cs"/>
          <w:color w:val="0070C0"/>
          <w:sz w:val="28"/>
          <w:szCs w:val="28"/>
          <w:rtl/>
          <w:lang w:bidi="ar"/>
        </w:rPr>
        <w:t>.»</w:t>
      </w:r>
      <w:r>
        <w:rPr>
          <w:rStyle w:val="FootnoteReference"/>
          <w:rFonts w:cs="Abz-2 (Badr)"/>
          <w:sz w:val="28"/>
          <w:szCs w:val="28"/>
          <w:rtl/>
          <w:lang w:bidi="ar"/>
        </w:rPr>
        <w:footnoteReference w:id="6"/>
      </w:r>
    </w:p>
    <w:p w14:paraId="2299C55C" w14:textId="77777777" w:rsidR="00557A92" w:rsidRPr="00ED5E8D" w:rsidRDefault="00557A92" w:rsidP="00557A92">
      <w:pPr>
        <w:widowControl w:val="0"/>
        <w:bidi/>
        <w:spacing w:after="0" w:line="252" w:lineRule="auto"/>
        <w:ind w:firstLine="284"/>
        <w:jc w:val="both"/>
        <w:rPr>
          <w:rFonts w:cs="Abz-2 (Badr)"/>
          <w:color w:val="000000" w:themeColor="text1"/>
          <w:sz w:val="28"/>
          <w:szCs w:val="28"/>
          <w:rtl/>
          <w:lang w:bidi="fa-IR"/>
        </w:rPr>
      </w:pPr>
      <w:r>
        <w:rPr>
          <w:rFonts w:cs="Abz-2 (Badr)" w:hint="cs"/>
          <w:sz w:val="28"/>
          <w:szCs w:val="28"/>
          <w:rtl/>
          <w:lang w:bidi="fa-IR"/>
        </w:rPr>
        <w:t>ولی صاحب جواهر بر اين استدلال اشکال وارد کرده و فرمايش ايشان را جلسه آينده مطرح خواهيم کرد ان شاء الله.</w:t>
      </w:r>
    </w:p>
    <w:p w14:paraId="0035214F" w14:textId="77777777" w:rsidR="00557A92" w:rsidRPr="00ED5E8D" w:rsidRDefault="00557A92" w:rsidP="00557A92">
      <w:pPr>
        <w:widowControl w:val="0"/>
        <w:bidi/>
        <w:spacing w:after="0" w:line="247" w:lineRule="auto"/>
        <w:ind w:firstLine="284"/>
        <w:jc w:val="both"/>
        <w:rPr>
          <w:rFonts w:cs="Abz-2 (Badr)"/>
          <w:color w:val="000000" w:themeColor="text1"/>
          <w:sz w:val="28"/>
          <w:szCs w:val="28"/>
          <w:rtl/>
          <w:lang w:bidi="fa-IR"/>
        </w:rPr>
      </w:pPr>
    </w:p>
    <w:bookmarkEnd w:id="0"/>
    <w:p w14:paraId="358854CE" w14:textId="2276C044" w:rsidR="0027088A" w:rsidRPr="005220F4" w:rsidRDefault="0027088A" w:rsidP="005220F4"/>
    <w:sectPr w:rsidR="0027088A" w:rsidRPr="005220F4"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9053C" w14:textId="77777777" w:rsidR="00600082" w:rsidRDefault="00600082" w:rsidP="00F71127">
      <w:pPr>
        <w:spacing w:after="0" w:line="240" w:lineRule="auto"/>
      </w:pPr>
      <w:r>
        <w:separator/>
      </w:r>
    </w:p>
  </w:endnote>
  <w:endnote w:type="continuationSeparator" w:id="0">
    <w:p w14:paraId="290CCB8B" w14:textId="77777777" w:rsidR="00600082" w:rsidRDefault="0060008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2718C" w14:textId="77777777" w:rsidR="00600082" w:rsidRDefault="00600082" w:rsidP="00EE25C0">
      <w:pPr>
        <w:bidi/>
        <w:spacing w:after="0" w:line="240" w:lineRule="auto"/>
      </w:pPr>
      <w:r>
        <w:separator/>
      </w:r>
    </w:p>
  </w:footnote>
  <w:footnote w:type="continuationSeparator" w:id="0">
    <w:p w14:paraId="34495A86" w14:textId="77777777" w:rsidR="00600082" w:rsidRDefault="00600082" w:rsidP="00F71127">
      <w:pPr>
        <w:bidi/>
        <w:spacing w:after="0" w:line="240" w:lineRule="auto"/>
      </w:pPr>
      <w:r>
        <w:continuationSeparator/>
      </w:r>
    </w:p>
  </w:footnote>
  <w:footnote w:id="1">
    <w:p w14:paraId="114B80BC" w14:textId="77777777" w:rsidR="00557A92" w:rsidRPr="003E2379" w:rsidRDefault="00557A92" w:rsidP="00557A92">
      <w:pPr>
        <w:widowControl w:val="0"/>
        <w:bidi/>
        <w:spacing w:after="0" w:line="240" w:lineRule="auto"/>
        <w:rPr>
          <w:rFonts w:cs="Abz-2 (Badr)"/>
          <w:sz w:val="20"/>
          <w:szCs w:val="20"/>
          <w:rtl/>
          <w:lang w:bidi="fa-IR"/>
        </w:rPr>
      </w:pPr>
      <w:r w:rsidRPr="003E2379">
        <w:rPr>
          <w:rStyle w:val="FootnoteReference"/>
          <w:rFonts w:cs="Abz-2 (Badr)"/>
          <w:sz w:val="20"/>
          <w:szCs w:val="20"/>
          <w:vertAlign w:val="baseline"/>
        </w:rPr>
        <w:footnoteRef/>
      </w:r>
      <w:r w:rsidRPr="003E2379">
        <w:rPr>
          <w:rFonts w:cs="Abz-2 (Badr)"/>
          <w:sz w:val="20"/>
          <w:szCs w:val="20"/>
        </w:rPr>
        <w:t xml:space="preserve"> </w:t>
      </w:r>
      <w:r w:rsidRPr="003E2379">
        <w:rPr>
          <w:rFonts w:cs="Abz-2 (Badr)" w:hint="cs"/>
          <w:sz w:val="20"/>
          <w:szCs w:val="20"/>
          <w:rtl/>
        </w:rPr>
        <w:t>ـ مسالك،ج12،ص278.</w:t>
      </w:r>
    </w:p>
  </w:footnote>
  <w:footnote w:id="2">
    <w:p w14:paraId="18966625" w14:textId="77777777" w:rsidR="00557A92" w:rsidRPr="003E2379" w:rsidRDefault="00557A92" w:rsidP="00557A92">
      <w:pPr>
        <w:pStyle w:val="FootnoteText"/>
        <w:bidi/>
        <w:jc w:val="both"/>
        <w:rPr>
          <w:rFonts w:cs="Abz-2 (Badr)"/>
          <w:rtl/>
          <w:lang w:bidi="fa-IR"/>
        </w:rPr>
      </w:pPr>
      <w:r w:rsidRPr="003E2379">
        <w:rPr>
          <w:rStyle w:val="FootnoteReference"/>
          <w:rFonts w:cs="Abz-2 (Badr)"/>
          <w:vertAlign w:val="baseline"/>
        </w:rPr>
        <w:footnoteRef/>
      </w:r>
      <w:r w:rsidRPr="003E2379">
        <w:rPr>
          <w:rFonts w:cs="Abz-2 (Badr)"/>
        </w:rPr>
        <w:t xml:space="preserve"> </w:t>
      </w:r>
      <w:r w:rsidRPr="003E2379">
        <w:rPr>
          <w:rFonts w:cs="Abz-2 (Badr)" w:hint="cs"/>
          <w:rtl/>
        </w:rPr>
        <w:t xml:space="preserve">ـ </w:t>
      </w:r>
      <w:r w:rsidRPr="003E2379">
        <w:rPr>
          <w:rFonts w:cs="Abz-2 (Badr)" w:hint="cs"/>
          <w:rtl/>
        </w:rPr>
        <w:t>کافی،ج6،ص45،ح3 ـ وسائل،ج21،ص471،ح27614.</w:t>
      </w:r>
    </w:p>
  </w:footnote>
  <w:footnote w:id="3">
    <w:p w14:paraId="5CD963FA" w14:textId="77777777" w:rsidR="00557A92" w:rsidRPr="005026FA" w:rsidRDefault="00557A92" w:rsidP="00557A92">
      <w:pPr>
        <w:pStyle w:val="FootnoteText"/>
        <w:bidi/>
        <w:jc w:val="both"/>
        <w:rPr>
          <w:rFonts w:cs="Abz-2 (Badr)"/>
          <w:rtl/>
          <w:lang w:bidi="fa-IR"/>
        </w:rPr>
      </w:pPr>
      <w:r w:rsidRPr="003E2379">
        <w:rPr>
          <w:rStyle w:val="FootnoteReference"/>
          <w:rFonts w:cs="Abz-2 (Badr)"/>
          <w:vertAlign w:val="baseline"/>
        </w:rPr>
        <w:footnoteRef/>
      </w:r>
      <w:r w:rsidRPr="005026FA">
        <w:rPr>
          <w:rFonts w:cs="Abz-2 (Badr)"/>
        </w:rPr>
        <w:t xml:space="preserve"> </w:t>
      </w:r>
      <w:r>
        <w:rPr>
          <w:rFonts w:cs="Abz-2 (Badr)" w:hint="cs"/>
          <w:rtl/>
        </w:rPr>
        <w:t xml:space="preserve">ـ </w:t>
      </w:r>
      <w:r>
        <w:rPr>
          <w:rFonts w:cs="Abz-2 (Badr)" w:hint="cs"/>
          <w:rtl/>
        </w:rPr>
        <w:t>کافی،ج6،ص45 و 46،ح5 ـ وسائل،ج21،ص459،ح27577.</w:t>
      </w:r>
    </w:p>
  </w:footnote>
  <w:footnote w:id="4">
    <w:p w14:paraId="1ADD453F" w14:textId="77777777" w:rsidR="00557A92" w:rsidRPr="005026FA" w:rsidRDefault="00557A92" w:rsidP="00557A92">
      <w:pPr>
        <w:pStyle w:val="FootnoteText"/>
        <w:bidi/>
        <w:jc w:val="both"/>
        <w:rPr>
          <w:rFonts w:cs="Abz-2 (Badr)"/>
          <w:rtl/>
          <w:lang w:bidi="fa-IR"/>
        </w:rPr>
      </w:pPr>
      <w:r w:rsidRPr="003E2379">
        <w:rPr>
          <w:rStyle w:val="FootnoteReference"/>
          <w:rFonts w:cs="Abz-2 (Badr)"/>
          <w:vertAlign w:val="baseline"/>
        </w:rPr>
        <w:footnoteRef/>
      </w:r>
      <w:r w:rsidRPr="005026FA">
        <w:rPr>
          <w:rFonts w:cs="Abz-2 (Badr)"/>
        </w:rPr>
        <w:t xml:space="preserve"> </w:t>
      </w:r>
      <w:r>
        <w:rPr>
          <w:rFonts w:cs="Abz-2 (Badr)" w:hint="cs"/>
          <w:rtl/>
        </w:rPr>
        <w:t>ـ مبسوط،ج6،ص41.</w:t>
      </w:r>
    </w:p>
  </w:footnote>
  <w:footnote w:id="5">
    <w:p w14:paraId="35B63C42" w14:textId="77777777" w:rsidR="00557A92" w:rsidRPr="005026FA" w:rsidRDefault="00557A92" w:rsidP="00557A92">
      <w:pPr>
        <w:pStyle w:val="FootnoteText"/>
        <w:bidi/>
        <w:jc w:val="both"/>
        <w:rPr>
          <w:rFonts w:cs="Abz-2 (Badr)"/>
          <w:rtl/>
          <w:lang w:bidi="fa-IR"/>
        </w:rPr>
      </w:pPr>
      <w:r w:rsidRPr="003E2379">
        <w:rPr>
          <w:rStyle w:val="FootnoteReference"/>
          <w:rFonts w:cs="Abz-2 (Badr)"/>
          <w:vertAlign w:val="baseline"/>
        </w:rPr>
        <w:footnoteRef/>
      </w:r>
      <w:r w:rsidRPr="005026FA">
        <w:rPr>
          <w:rFonts w:cs="Abz-2 (Badr)"/>
        </w:rPr>
        <w:t xml:space="preserve"> </w:t>
      </w:r>
      <w:r>
        <w:rPr>
          <w:rFonts w:cs="Abz-2 (Badr)" w:hint="cs"/>
          <w:rtl/>
        </w:rPr>
        <w:t xml:space="preserve">ـ </w:t>
      </w:r>
      <w:r>
        <w:rPr>
          <w:rFonts w:cs="Abz-2 (Badr)" w:hint="cs"/>
          <w:rtl/>
        </w:rPr>
        <w:t>مختلف</w:t>
      </w:r>
      <w:r>
        <w:rPr>
          <w:rFonts w:cs="Abz-2 (Badr)" w:hint="cs"/>
          <w:rtl/>
          <w:lang w:bidi="fa-IR"/>
        </w:rPr>
        <w:t>،ج7،ص309</w:t>
      </w:r>
      <w:r>
        <w:rPr>
          <w:rFonts w:cs="Abz-2 (Badr)" w:hint="cs"/>
          <w:rtl/>
        </w:rPr>
        <w:t>.</w:t>
      </w:r>
    </w:p>
  </w:footnote>
  <w:footnote w:id="6">
    <w:p w14:paraId="2B327690" w14:textId="77777777" w:rsidR="00557A92" w:rsidRPr="005026FA" w:rsidRDefault="00557A92" w:rsidP="00557A92">
      <w:pPr>
        <w:pStyle w:val="FootnoteText"/>
        <w:bidi/>
        <w:jc w:val="both"/>
        <w:rPr>
          <w:rFonts w:cs="Abz-2 (Badr)"/>
          <w:rtl/>
          <w:lang w:bidi="fa-IR"/>
        </w:rPr>
      </w:pPr>
      <w:r w:rsidRPr="003E2379">
        <w:rPr>
          <w:rStyle w:val="FootnoteReference"/>
          <w:rFonts w:cs="Abz-2 (Badr)"/>
          <w:vertAlign w:val="baseline"/>
        </w:rPr>
        <w:footnoteRef/>
      </w:r>
      <w:r w:rsidRPr="005026FA">
        <w:rPr>
          <w:rFonts w:cs="Abz-2 (Badr)"/>
        </w:rPr>
        <w:t xml:space="preserve"> </w:t>
      </w:r>
      <w:r>
        <w:rPr>
          <w:rFonts w:cs="Abz-2 (Badr)" w:hint="cs"/>
          <w:rtl/>
        </w:rPr>
        <w:t xml:space="preserve">ـ </w:t>
      </w:r>
      <w:r>
        <w:rPr>
          <w:rFonts w:cs="Abz-2 (Badr)" w:hint="cs"/>
          <w:rtl/>
        </w:rPr>
        <w:t>مسالك</w:t>
      </w:r>
      <w:r>
        <w:rPr>
          <w:rFonts w:cs="Abz-2 (Badr)" w:hint="cs"/>
          <w:rtl/>
          <w:lang w:bidi="fa-IR"/>
        </w:rPr>
        <w:t>،ج8،ص424</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B4DFFFB"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5220F4">
                            <w:rPr>
                              <w:rFonts w:cs="B Mehr" w:hint="cs"/>
                              <w:rtl/>
                              <w:lang w:bidi="fa-IR"/>
                            </w:rPr>
                            <w:t xml:space="preserve">سه </w:t>
                          </w:r>
                          <w:r w:rsidR="00615E80">
                            <w:rPr>
                              <w:rFonts w:cs="B Mehr" w:hint="cs"/>
                              <w:rtl/>
                              <w:lang w:bidi="fa-IR"/>
                            </w:rPr>
                            <w:t>شنبه</w:t>
                          </w:r>
                          <w:r>
                            <w:rPr>
                              <w:rFonts w:cs="B Mehr" w:hint="cs"/>
                              <w:rtl/>
                              <w:lang w:bidi="fa-IR"/>
                            </w:rPr>
                            <w:t xml:space="preserve"> </w:t>
                          </w:r>
                          <w:r>
                            <w:rPr>
                              <w:rFonts w:cs="B Mehr" w:hint="cs"/>
                              <w:rtl/>
                            </w:rPr>
                            <w:t xml:space="preserve">،   </w:t>
                          </w:r>
                          <w:r w:rsidR="00654038">
                            <w:rPr>
                              <w:rFonts w:cs="B Mehr" w:hint="cs"/>
                              <w:rtl/>
                            </w:rPr>
                            <w:t>0</w:t>
                          </w:r>
                          <w:r w:rsidR="005220F4">
                            <w:rPr>
                              <w:rFonts w:cs="B Mehr" w:hint="cs"/>
                              <w:rtl/>
                            </w:rPr>
                            <w:t>9</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B4DFFFB"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5220F4">
                      <w:rPr>
                        <w:rFonts w:cs="B Mehr" w:hint="cs"/>
                        <w:rtl/>
                        <w:lang w:bidi="fa-IR"/>
                      </w:rPr>
                      <w:t xml:space="preserve">سه </w:t>
                    </w:r>
                    <w:r w:rsidR="00615E80">
                      <w:rPr>
                        <w:rFonts w:cs="B Mehr" w:hint="cs"/>
                        <w:rtl/>
                        <w:lang w:bidi="fa-IR"/>
                      </w:rPr>
                      <w:t>شنبه</w:t>
                    </w:r>
                    <w:r>
                      <w:rPr>
                        <w:rFonts w:cs="B Mehr" w:hint="cs"/>
                        <w:rtl/>
                        <w:lang w:bidi="fa-IR"/>
                      </w:rPr>
                      <w:t xml:space="preserve"> </w:t>
                    </w:r>
                    <w:r>
                      <w:rPr>
                        <w:rFonts w:cs="B Mehr" w:hint="cs"/>
                        <w:rtl/>
                      </w:rPr>
                      <w:t xml:space="preserve">،   </w:t>
                    </w:r>
                    <w:r w:rsidR="00654038">
                      <w:rPr>
                        <w:rFonts w:cs="B Mehr" w:hint="cs"/>
                        <w:rtl/>
                      </w:rPr>
                      <w:t>0</w:t>
                    </w:r>
                    <w:r w:rsidR="005220F4">
                      <w:rPr>
                        <w:rFonts w:cs="B Mehr" w:hint="cs"/>
                        <w:rtl/>
                      </w:rPr>
                      <w:t>9</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550</cp:revision>
  <cp:lastPrinted>2025-04-14T09:12:00Z</cp:lastPrinted>
  <dcterms:created xsi:type="dcterms:W3CDTF">2022-10-16T08:36:00Z</dcterms:created>
  <dcterms:modified xsi:type="dcterms:W3CDTF">2025-04-30T07:33:00Z</dcterms:modified>
</cp:coreProperties>
</file>